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4016F" w14:textId="51F2725F" w:rsidR="0072786C" w:rsidRDefault="0072786C" w:rsidP="0072786C">
      <w:pPr>
        <w:spacing w:before="271"/>
        <w:ind w:right="19"/>
        <w:rPr>
          <w:rFonts w:ascii="Times New Roman" w:eastAsia="Times New Roman" w:hAnsi="Times New Roman" w:cs="Times New Roman"/>
          <w:b/>
          <w:i/>
          <w:sz w:val="26"/>
        </w:rPr>
      </w:pPr>
      <w:r>
        <w:rPr>
          <w:rFonts w:ascii="Times New Roman" w:eastAsia="Times New Roman" w:hAnsi="Times New Roman" w:cs="Times New Roman"/>
          <w:b/>
          <w:i/>
          <w:sz w:val="26"/>
        </w:rPr>
        <w:t>PROJETO</w:t>
      </w:r>
      <w:r>
        <w:rPr>
          <w:rFonts w:ascii="Times New Roman" w:eastAsia="Times New Roman" w:hAnsi="Times New Roman" w:cs="Times New Roman"/>
          <w:b/>
          <w:i/>
          <w:spacing w:val="-6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6"/>
        </w:rPr>
        <w:t>DE</w:t>
      </w:r>
      <w:r>
        <w:rPr>
          <w:rFonts w:ascii="Times New Roman" w:eastAsia="Times New Roman" w:hAnsi="Times New Roman" w:cs="Times New Roman"/>
          <w:b/>
          <w:i/>
          <w:spacing w:val="-5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6"/>
        </w:rPr>
        <w:t>LEI</w:t>
      </w:r>
      <w:r>
        <w:rPr>
          <w:rFonts w:ascii="Times New Roman" w:eastAsia="Times New Roman" w:hAnsi="Times New Roman" w:cs="Times New Roman"/>
          <w:b/>
          <w:i/>
          <w:spacing w:val="-5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6"/>
        </w:rPr>
        <w:t>ORDINÁRIA</w:t>
      </w:r>
      <w:r>
        <w:rPr>
          <w:rFonts w:ascii="Times New Roman" w:eastAsia="Times New Roman" w:hAnsi="Times New Roman" w:cs="Times New Roman"/>
          <w:b/>
          <w:i/>
          <w:spacing w:val="-3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6"/>
        </w:rPr>
        <w:t>Nº</w:t>
      </w:r>
      <w:r>
        <w:rPr>
          <w:rFonts w:ascii="Times New Roman" w:eastAsia="Times New Roman" w:hAnsi="Times New Roman" w:cs="Times New Roman"/>
          <w:b/>
          <w:i/>
          <w:spacing w:val="55"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5"/>
          <w:sz w:val="26"/>
        </w:rPr>
        <w:t xml:space="preserve"> </w:t>
      </w:r>
      <w:r w:rsidR="00121E0E">
        <w:rPr>
          <w:rFonts w:ascii="Times New Roman" w:eastAsia="Times New Roman" w:hAnsi="Times New Roman" w:cs="Times New Roman"/>
          <w:b/>
          <w:i/>
          <w:spacing w:val="-5"/>
          <w:sz w:val="26"/>
        </w:rPr>
        <w:t>210C</w:t>
      </w:r>
      <w:r>
        <w:rPr>
          <w:rFonts w:ascii="Times New Roman" w:eastAsia="Times New Roman" w:hAnsi="Times New Roman" w:cs="Times New Roman"/>
          <w:b/>
          <w:i/>
          <w:spacing w:val="-4"/>
          <w:sz w:val="26"/>
        </w:rPr>
        <w:t>/2025</w:t>
      </w:r>
    </w:p>
    <w:p w14:paraId="59B7E2FA" w14:textId="77777777" w:rsidR="0072786C" w:rsidRDefault="0072786C" w:rsidP="0072786C">
      <w:pPr>
        <w:rPr>
          <w:rFonts w:ascii="Times New Roman" w:eastAsia="Times New Roman" w:hAnsi="Times New Roman" w:cs="Times New Roman"/>
          <w:b/>
          <w:i/>
          <w:sz w:val="26"/>
        </w:rPr>
      </w:pPr>
    </w:p>
    <w:p w14:paraId="7E8B80FC" w14:textId="77777777" w:rsidR="0072786C" w:rsidRDefault="0072786C" w:rsidP="0072786C">
      <w:pPr>
        <w:spacing w:before="33"/>
        <w:rPr>
          <w:rFonts w:ascii="Times New Roman" w:eastAsia="Times New Roman" w:hAnsi="Times New Roman" w:cs="Times New Roman"/>
          <w:b/>
          <w:i/>
          <w:sz w:val="26"/>
        </w:rPr>
      </w:pPr>
    </w:p>
    <w:p w14:paraId="10673FA6" w14:textId="150268AE" w:rsidR="00B76488" w:rsidRPr="00B76488" w:rsidRDefault="00B76488" w:rsidP="00226D6E">
      <w:pPr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B76488">
        <w:rPr>
          <w:rFonts w:ascii="Times New Roman" w:hAnsi="Times New Roman" w:cs="Times New Roman"/>
          <w:sz w:val="24"/>
          <w:szCs w:val="24"/>
        </w:rPr>
        <w:t>EMENTA: INSTITUI, NO ÂMBITO DO MUNICÍPIO DE ITATIAIA, A “SEMANA MUNICIPAL DE PREVENÇÃO AOS FATORES DE RISCO CARDIOVASCULARES” E DÁ OUTRAS</w:t>
      </w:r>
      <w:r w:rsidR="00226D6E" w:rsidRPr="00226D6E">
        <w:rPr>
          <w:rFonts w:ascii="Times New Roman" w:hAnsi="Times New Roman" w:cs="Times New Roman"/>
          <w:color w:val="FFFFFF" w:themeColor="background1"/>
          <w:sz w:val="24"/>
          <w:szCs w:val="24"/>
        </w:rPr>
        <w:t>..</w:t>
      </w:r>
      <w:r w:rsidRPr="00B76488">
        <w:rPr>
          <w:rFonts w:ascii="Times New Roman" w:hAnsi="Times New Roman" w:cs="Times New Roman"/>
          <w:sz w:val="24"/>
          <w:szCs w:val="24"/>
        </w:rPr>
        <w:t>PROVIDÊNCIAS.</w:t>
      </w:r>
      <w:r w:rsidRPr="00B76488">
        <w:rPr>
          <w:rFonts w:ascii="Times New Roman" w:hAnsi="Times New Roman" w:cs="Times New Roman"/>
          <w:sz w:val="24"/>
          <w:szCs w:val="24"/>
        </w:rPr>
        <w:br/>
      </w:r>
      <w:r w:rsidRPr="00B76488">
        <w:rPr>
          <w:rFonts w:ascii="Times New Roman" w:hAnsi="Times New Roman" w:cs="Times New Roman"/>
          <w:sz w:val="24"/>
          <w:szCs w:val="24"/>
        </w:rPr>
        <w:br/>
      </w:r>
    </w:p>
    <w:p w14:paraId="64017654" w14:textId="1CD38472" w:rsidR="00B76488" w:rsidRPr="00B76488" w:rsidRDefault="00B76488" w:rsidP="00226D6E">
      <w:pPr>
        <w:jc w:val="both"/>
        <w:rPr>
          <w:rFonts w:ascii="Times New Roman" w:hAnsi="Times New Roman" w:cs="Times New Roman"/>
          <w:sz w:val="24"/>
          <w:szCs w:val="24"/>
        </w:rPr>
      </w:pPr>
      <w:r w:rsidRPr="00B76488">
        <w:rPr>
          <w:rFonts w:ascii="Times New Roman" w:hAnsi="Times New Roman" w:cs="Times New Roman"/>
          <w:b/>
          <w:sz w:val="24"/>
          <w:szCs w:val="24"/>
        </w:rPr>
        <w:t xml:space="preserve">Art. 1º. </w:t>
      </w:r>
      <w:r w:rsidRPr="00B76488">
        <w:rPr>
          <w:rFonts w:ascii="Times New Roman" w:hAnsi="Times New Roman" w:cs="Times New Roman"/>
          <w:sz w:val="24"/>
          <w:szCs w:val="24"/>
        </w:rPr>
        <w:t>Fica instituída, no Município de Itatiaia, a “Semana Municipal de Prevenção aos Fatores de Risco Cardiovasculares”, a ser realizada, anualmente, na segunda semana do mês de outubro, com o objetivo de promover a conscientização, o diagnóstico precoce e o controle dos principais fatores de risco relacionados às doenças cardiovasculares, como hipertensão arterial, diabetes, colesterol elevado e tabagismo.</w:t>
      </w:r>
      <w:r w:rsidRPr="00B76488">
        <w:rPr>
          <w:rFonts w:ascii="Times New Roman" w:hAnsi="Times New Roman" w:cs="Times New Roman"/>
          <w:sz w:val="24"/>
          <w:szCs w:val="24"/>
        </w:rPr>
        <w:br/>
      </w:r>
    </w:p>
    <w:p w14:paraId="049C0821" w14:textId="77777777" w:rsidR="00B76488" w:rsidRDefault="00B76488" w:rsidP="00B76488">
      <w:pPr>
        <w:rPr>
          <w:rFonts w:ascii="Times New Roman" w:hAnsi="Times New Roman" w:cs="Times New Roman"/>
          <w:sz w:val="24"/>
          <w:szCs w:val="24"/>
        </w:rPr>
      </w:pPr>
      <w:r w:rsidRPr="00B76488">
        <w:rPr>
          <w:rFonts w:ascii="Times New Roman" w:hAnsi="Times New Roman" w:cs="Times New Roman"/>
          <w:b/>
          <w:sz w:val="24"/>
          <w:szCs w:val="24"/>
        </w:rPr>
        <w:t xml:space="preserve">Art. 2º. </w:t>
      </w:r>
      <w:r w:rsidRPr="00B76488">
        <w:rPr>
          <w:rFonts w:ascii="Times New Roman" w:hAnsi="Times New Roman" w:cs="Times New Roman"/>
          <w:sz w:val="24"/>
          <w:szCs w:val="24"/>
        </w:rPr>
        <w:t>A Semana de que trata esta Lei tem por objetivos:</w:t>
      </w:r>
    </w:p>
    <w:p w14:paraId="2725691B" w14:textId="18E824AB" w:rsidR="00B76488" w:rsidRPr="00B76488" w:rsidRDefault="00B76488" w:rsidP="00226D6E">
      <w:pPr>
        <w:rPr>
          <w:rFonts w:ascii="Times New Roman" w:hAnsi="Times New Roman" w:cs="Times New Roman"/>
          <w:sz w:val="24"/>
          <w:szCs w:val="24"/>
        </w:rPr>
      </w:pPr>
      <w:r w:rsidRPr="00B76488">
        <w:rPr>
          <w:rFonts w:ascii="Times New Roman" w:hAnsi="Times New Roman" w:cs="Times New Roman"/>
          <w:sz w:val="24"/>
          <w:szCs w:val="24"/>
        </w:rPr>
        <w:br/>
        <w:t>I – promover a conscientização da população acerca da importância da prevenção e do controle dos fatores de risco para infarto, AVC e outras doenças cardiovasculares;</w:t>
      </w:r>
      <w:r w:rsidRPr="00B76488">
        <w:rPr>
          <w:rFonts w:ascii="Times New Roman" w:hAnsi="Times New Roman" w:cs="Times New Roman"/>
          <w:sz w:val="24"/>
          <w:szCs w:val="24"/>
        </w:rPr>
        <w:br/>
        <w:t>II – estimular hábitos de vida saudáveis, como alimentação equilibrada, prática regular de atividade física, abandono do tabagismo e acompanhamento médico periódico;</w:t>
      </w:r>
      <w:r w:rsidRPr="00B76488">
        <w:rPr>
          <w:rFonts w:ascii="Times New Roman" w:hAnsi="Times New Roman" w:cs="Times New Roman"/>
          <w:sz w:val="24"/>
          <w:szCs w:val="24"/>
        </w:rPr>
        <w:br/>
        <w:t>III – incentivar o diagnóstico precoce e o tratamento adequado da hipertensão arterial, dislipidemias e diabetes;</w:t>
      </w:r>
      <w:r w:rsidRPr="00B76488">
        <w:rPr>
          <w:rFonts w:ascii="Times New Roman" w:hAnsi="Times New Roman" w:cs="Times New Roman"/>
          <w:sz w:val="24"/>
          <w:szCs w:val="24"/>
        </w:rPr>
        <w:br/>
        <w:t>IV – fomentar ações educativas, palestras, campanhas informativas e eventos comunitários sobre saúde cardiovascular;</w:t>
      </w:r>
      <w:r w:rsidRPr="00B76488">
        <w:rPr>
          <w:rFonts w:ascii="Times New Roman" w:hAnsi="Times New Roman" w:cs="Times New Roman"/>
          <w:sz w:val="24"/>
          <w:szCs w:val="24"/>
        </w:rPr>
        <w:br/>
        <w:t>V – fortalecer o trabalho das unidades básicas de saúde na detecção e no acompanhamento de fatores de risco cardiovasculares.</w:t>
      </w:r>
      <w:r w:rsidRPr="00B76488">
        <w:rPr>
          <w:rFonts w:ascii="Times New Roman" w:hAnsi="Times New Roman" w:cs="Times New Roman"/>
          <w:sz w:val="24"/>
          <w:szCs w:val="24"/>
        </w:rPr>
        <w:br/>
      </w:r>
    </w:p>
    <w:p w14:paraId="2ED3D1D6" w14:textId="77777777" w:rsidR="00B76488" w:rsidRDefault="00B76488" w:rsidP="00226D6E">
      <w:pPr>
        <w:jc w:val="both"/>
        <w:rPr>
          <w:rFonts w:ascii="Times New Roman" w:hAnsi="Times New Roman" w:cs="Times New Roman"/>
          <w:sz w:val="24"/>
          <w:szCs w:val="24"/>
        </w:rPr>
      </w:pPr>
      <w:r w:rsidRPr="00B76488">
        <w:rPr>
          <w:rFonts w:ascii="Times New Roman" w:hAnsi="Times New Roman" w:cs="Times New Roman"/>
          <w:b/>
          <w:sz w:val="24"/>
          <w:szCs w:val="24"/>
        </w:rPr>
        <w:t xml:space="preserve">Art. 3º. </w:t>
      </w:r>
      <w:r w:rsidRPr="00B76488">
        <w:rPr>
          <w:rFonts w:ascii="Times New Roman" w:hAnsi="Times New Roman" w:cs="Times New Roman"/>
          <w:sz w:val="24"/>
          <w:szCs w:val="24"/>
        </w:rPr>
        <w:t>Durante a Semana Municipal de Prevenção aos Fatores de Risco Cardiovasculares, o Poder Executivo poderá promover, em parceria com entidades públicas e privadas, as seguintes ações:</w:t>
      </w:r>
    </w:p>
    <w:p w14:paraId="613DFC8F" w14:textId="78FA2113" w:rsidR="00B76488" w:rsidRPr="00B76488" w:rsidRDefault="00B76488" w:rsidP="00B76488">
      <w:pPr>
        <w:rPr>
          <w:rFonts w:ascii="Times New Roman" w:hAnsi="Times New Roman" w:cs="Times New Roman"/>
          <w:sz w:val="24"/>
          <w:szCs w:val="24"/>
        </w:rPr>
      </w:pPr>
      <w:r w:rsidRPr="00B76488">
        <w:rPr>
          <w:rFonts w:ascii="Times New Roman" w:hAnsi="Times New Roman" w:cs="Times New Roman"/>
          <w:sz w:val="24"/>
          <w:szCs w:val="24"/>
        </w:rPr>
        <w:br/>
      </w:r>
      <w:r w:rsidRPr="00B76488">
        <w:rPr>
          <w:rFonts w:ascii="Times New Roman" w:hAnsi="Times New Roman" w:cs="Times New Roman"/>
          <w:sz w:val="24"/>
          <w:szCs w:val="24"/>
        </w:rPr>
        <w:br/>
        <w:t>I – campanhas de rastreamento e aferição gratuita de pressão arterial, glicemia e colesterol;</w:t>
      </w:r>
      <w:r w:rsidRPr="00B76488">
        <w:rPr>
          <w:rFonts w:ascii="Times New Roman" w:hAnsi="Times New Roman" w:cs="Times New Roman"/>
          <w:sz w:val="24"/>
          <w:szCs w:val="24"/>
        </w:rPr>
        <w:br/>
        <w:t>II – realização de palestras, oficinas e atividades educativas em escolas, unidades de saúde e espaços públicos;</w:t>
      </w:r>
      <w:r w:rsidRPr="00B76488">
        <w:rPr>
          <w:rFonts w:ascii="Times New Roman" w:hAnsi="Times New Roman" w:cs="Times New Roman"/>
          <w:sz w:val="24"/>
          <w:szCs w:val="24"/>
        </w:rPr>
        <w:br/>
        <w:t>III – distribuição de materiais informativos impressos e digitais sobre prevenção cardiovascular;</w:t>
      </w:r>
      <w:r w:rsidRPr="00B76488">
        <w:rPr>
          <w:rFonts w:ascii="Times New Roman" w:hAnsi="Times New Roman" w:cs="Times New Roman"/>
          <w:sz w:val="24"/>
          <w:szCs w:val="24"/>
        </w:rPr>
        <w:br/>
        <w:t>IV – eventos esportivos e de promoção de hábitos saudáveis, abertos à população;</w:t>
      </w:r>
      <w:r w:rsidRPr="00B76488">
        <w:rPr>
          <w:rFonts w:ascii="Times New Roman" w:hAnsi="Times New Roman" w:cs="Times New Roman"/>
          <w:sz w:val="24"/>
          <w:szCs w:val="24"/>
        </w:rPr>
        <w:br/>
        <w:t>V – parcerias com instituições de ensino, associações médicas, ONGs e empresas locais para ampliação do alcance das ações.</w:t>
      </w:r>
      <w:r w:rsidRPr="00B76488">
        <w:rPr>
          <w:rFonts w:ascii="Times New Roman" w:hAnsi="Times New Roman" w:cs="Times New Roman"/>
          <w:sz w:val="24"/>
          <w:szCs w:val="24"/>
        </w:rPr>
        <w:br/>
      </w:r>
      <w:r w:rsidRPr="00B76488">
        <w:rPr>
          <w:rFonts w:ascii="Times New Roman" w:hAnsi="Times New Roman" w:cs="Times New Roman"/>
          <w:sz w:val="24"/>
          <w:szCs w:val="24"/>
        </w:rPr>
        <w:br/>
      </w:r>
    </w:p>
    <w:p w14:paraId="5457FCA3" w14:textId="77777777" w:rsidR="00226D6E" w:rsidRDefault="00226D6E" w:rsidP="00226D6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0EEC4B" w14:textId="15825E36" w:rsidR="00B76488" w:rsidRPr="00B76488" w:rsidRDefault="00B76488" w:rsidP="00226D6E">
      <w:pPr>
        <w:jc w:val="both"/>
        <w:rPr>
          <w:rFonts w:ascii="Times New Roman" w:hAnsi="Times New Roman" w:cs="Times New Roman"/>
          <w:sz w:val="24"/>
          <w:szCs w:val="24"/>
        </w:rPr>
      </w:pPr>
      <w:r w:rsidRPr="00B76488">
        <w:rPr>
          <w:rFonts w:ascii="Times New Roman" w:hAnsi="Times New Roman" w:cs="Times New Roman"/>
          <w:b/>
          <w:sz w:val="24"/>
          <w:szCs w:val="24"/>
        </w:rPr>
        <w:t xml:space="preserve">Art. 4º. </w:t>
      </w:r>
      <w:r w:rsidRPr="00B76488">
        <w:rPr>
          <w:rFonts w:ascii="Times New Roman" w:hAnsi="Times New Roman" w:cs="Times New Roman"/>
          <w:sz w:val="24"/>
          <w:szCs w:val="24"/>
        </w:rPr>
        <w:t>A execução do disposto nesta Lei será de responsabilidade do Poder Executivo, que definirá o órgão ou setor competente para planejar, coordenar e executar as ações previstas, podendo envolver outras secretarias e entidades municipais conforme as necessidades</w:t>
      </w:r>
      <w:r w:rsidR="00226D6E" w:rsidRPr="00226D6E">
        <w:rPr>
          <w:rFonts w:ascii="Times New Roman" w:hAnsi="Times New Roman" w:cs="Times New Roman"/>
          <w:color w:val="FFFFFF" w:themeColor="background1"/>
          <w:sz w:val="24"/>
          <w:szCs w:val="24"/>
        </w:rPr>
        <w:t>..</w:t>
      </w:r>
      <w:r w:rsidRPr="00B76488">
        <w:rPr>
          <w:rFonts w:ascii="Times New Roman" w:hAnsi="Times New Roman" w:cs="Times New Roman"/>
          <w:sz w:val="24"/>
          <w:szCs w:val="24"/>
        </w:rPr>
        <w:t>do</w:t>
      </w:r>
      <w:r w:rsidR="00226D6E" w:rsidRPr="00226D6E">
        <w:rPr>
          <w:rFonts w:ascii="Times New Roman" w:hAnsi="Times New Roman" w:cs="Times New Roman"/>
          <w:color w:val="FFFFFF" w:themeColor="background1"/>
          <w:sz w:val="24"/>
          <w:szCs w:val="24"/>
        </w:rPr>
        <w:t>..</w:t>
      </w:r>
      <w:r w:rsidRPr="00B76488">
        <w:rPr>
          <w:rFonts w:ascii="Times New Roman" w:hAnsi="Times New Roman" w:cs="Times New Roman"/>
          <w:sz w:val="24"/>
          <w:szCs w:val="24"/>
        </w:rPr>
        <w:t>programa.</w:t>
      </w:r>
      <w:r w:rsidRPr="00B76488">
        <w:rPr>
          <w:rFonts w:ascii="Times New Roman" w:hAnsi="Times New Roman" w:cs="Times New Roman"/>
          <w:sz w:val="24"/>
          <w:szCs w:val="24"/>
        </w:rPr>
        <w:br/>
      </w:r>
    </w:p>
    <w:p w14:paraId="318BB3C4" w14:textId="30BD44B2" w:rsidR="00B76488" w:rsidRPr="00B76488" w:rsidRDefault="00B76488" w:rsidP="00226D6E">
      <w:pPr>
        <w:jc w:val="both"/>
        <w:rPr>
          <w:rFonts w:ascii="Times New Roman" w:hAnsi="Times New Roman" w:cs="Times New Roman"/>
          <w:sz w:val="24"/>
          <w:szCs w:val="24"/>
        </w:rPr>
      </w:pPr>
      <w:r w:rsidRPr="00B76488">
        <w:rPr>
          <w:rFonts w:ascii="Times New Roman" w:hAnsi="Times New Roman" w:cs="Times New Roman"/>
          <w:b/>
          <w:sz w:val="24"/>
          <w:szCs w:val="24"/>
        </w:rPr>
        <w:t xml:space="preserve">Art. 5º. </w:t>
      </w:r>
      <w:r w:rsidRPr="00B76488">
        <w:rPr>
          <w:rFonts w:ascii="Times New Roman" w:hAnsi="Times New Roman" w:cs="Times New Roman"/>
          <w:sz w:val="24"/>
          <w:szCs w:val="24"/>
        </w:rPr>
        <w:t>Fica facultado ao Poder Executivo celebrar parcerias e convênios com entidades públicas e privadas, associações e instituições da sociedade civil para a execução das atividades</w:t>
      </w:r>
      <w:r w:rsidR="00226D6E" w:rsidRPr="00226D6E">
        <w:rPr>
          <w:rFonts w:ascii="Times New Roman" w:hAnsi="Times New Roman" w:cs="Times New Roman"/>
          <w:color w:val="FFFFFF" w:themeColor="background1"/>
          <w:sz w:val="24"/>
          <w:szCs w:val="24"/>
        </w:rPr>
        <w:t>..</w:t>
      </w:r>
      <w:r w:rsidRPr="00B76488">
        <w:rPr>
          <w:rFonts w:ascii="Times New Roman" w:hAnsi="Times New Roman" w:cs="Times New Roman"/>
          <w:sz w:val="24"/>
          <w:szCs w:val="24"/>
        </w:rPr>
        <w:t>previstas</w:t>
      </w:r>
      <w:r w:rsidR="00226D6E" w:rsidRPr="00226D6E">
        <w:rPr>
          <w:rFonts w:ascii="Times New Roman" w:hAnsi="Times New Roman" w:cs="Times New Roman"/>
          <w:color w:val="FFFFFF" w:themeColor="background1"/>
          <w:sz w:val="24"/>
          <w:szCs w:val="24"/>
        </w:rPr>
        <w:t>..</w:t>
      </w:r>
      <w:r w:rsidRPr="00B76488">
        <w:rPr>
          <w:rFonts w:ascii="Times New Roman" w:hAnsi="Times New Roman" w:cs="Times New Roman"/>
          <w:sz w:val="24"/>
          <w:szCs w:val="24"/>
        </w:rPr>
        <w:t>nesta</w:t>
      </w:r>
      <w:r w:rsidR="00226D6E" w:rsidRPr="00226D6E">
        <w:rPr>
          <w:rFonts w:ascii="Times New Roman" w:hAnsi="Times New Roman" w:cs="Times New Roman"/>
          <w:color w:val="FFFFFF" w:themeColor="background1"/>
          <w:sz w:val="24"/>
          <w:szCs w:val="24"/>
        </w:rPr>
        <w:t>..</w:t>
      </w:r>
      <w:r w:rsidRPr="00B76488">
        <w:rPr>
          <w:rFonts w:ascii="Times New Roman" w:hAnsi="Times New Roman" w:cs="Times New Roman"/>
          <w:sz w:val="24"/>
          <w:szCs w:val="24"/>
        </w:rPr>
        <w:t>Lei.</w:t>
      </w:r>
      <w:r w:rsidRPr="00B76488">
        <w:rPr>
          <w:rFonts w:ascii="Times New Roman" w:hAnsi="Times New Roman" w:cs="Times New Roman"/>
          <w:sz w:val="24"/>
          <w:szCs w:val="24"/>
        </w:rPr>
        <w:br/>
      </w:r>
    </w:p>
    <w:p w14:paraId="60C3B596" w14:textId="77777777" w:rsidR="00226D6E" w:rsidRDefault="00B76488" w:rsidP="00226D6E">
      <w:pPr>
        <w:jc w:val="both"/>
        <w:rPr>
          <w:rFonts w:ascii="Times New Roman" w:hAnsi="Times New Roman" w:cs="Times New Roman"/>
          <w:sz w:val="24"/>
          <w:szCs w:val="24"/>
        </w:rPr>
      </w:pPr>
      <w:r w:rsidRPr="00B76488">
        <w:rPr>
          <w:rFonts w:ascii="Times New Roman" w:hAnsi="Times New Roman" w:cs="Times New Roman"/>
          <w:b/>
          <w:sz w:val="24"/>
          <w:szCs w:val="24"/>
        </w:rPr>
        <w:t xml:space="preserve">Art. 6º. </w:t>
      </w:r>
      <w:r w:rsidRPr="00B76488">
        <w:rPr>
          <w:rFonts w:ascii="Times New Roman" w:hAnsi="Times New Roman" w:cs="Times New Roman"/>
          <w:sz w:val="24"/>
          <w:szCs w:val="24"/>
        </w:rPr>
        <w:t>As despesas decorrentes da execução desta Lei correrão por conta de dotações orçamentárias próprias, suplementadas se necessário, sem prejuízo de outras fontes de custeio.</w:t>
      </w:r>
    </w:p>
    <w:p w14:paraId="787A84E5" w14:textId="4F1A175B" w:rsidR="001A51E2" w:rsidRDefault="00B76488" w:rsidP="00226D6E">
      <w:pPr>
        <w:rPr>
          <w:rFonts w:ascii="Times New Roman" w:hAnsi="Times New Roman" w:cs="Times New Roman"/>
          <w:sz w:val="24"/>
          <w:szCs w:val="24"/>
        </w:rPr>
      </w:pPr>
      <w:r w:rsidRPr="00B76488">
        <w:rPr>
          <w:rFonts w:ascii="Times New Roman" w:hAnsi="Times New Roman" w:cs="Times New Roman"/>
          <w:sz w:val="24"/>
          <w:szCs w:val="24"/>
        </w:rPr>
        <w:br/>
      </w:r>
      <w:r w:rsidRPr="00B76488">
        <w:rPr>
          <w:rFonts w:ascii="Times New Roman" w:hAnsi="Times New Roman" w:cs="Times New Roman"/>
          <w:b/>
          <w:sz w:val="24"/>
          <w:szCs w:val="24"/>
        </w:rPr>
        <w:t xml:space="preserve">Art. 7º. </w:t>
      </w:r>
      <w:r w:rsidRPr="00B76488">
        <w:rPr>
          <w:rFonts w:ascii="Times New Roman" w:hAnsi="Times New Roman" w:cs="Times New Roman"/>
          <w:sz w:val="24"/>
          <w:szCs w:val="24"/>
        </w:rPr>
        <w:t>Esta Lei entra em vigor na data de sua publicação.</w:t>
      </w:r>
      <w:r w:rsidRPr="00B76488">
        <w:rPr>
          <w:rFonts w:ascii="Times New Roman" w:hAnsi="Times New Roman" w:cs="Times New Roman"/>
          <w:sz w:val="24"/>
          <w:szCs w:val="24"/>
        </w:rPr>
        <w:br/>
      </w:r>
    </w:p>
    <w:p w14:paraId="504D9D97" w14:textId="77777777" w:rsidR="00B76488" w:rsidRPr="00B76488" w:rsidRDefault="00B76488" w:rsidP="00B76488">
      <w:pPr>
        <w:rPr>
          <w:rFonts w:ascii="Times New Roman" w:hAnsi="Times New Roman" w:cs="Times New Roman"/>
          <w:sz w:val="24"/>
          <w:szCs w:val="24"/>
        </w:rPr>
      </w:pPr>
    </w:p>
    <w:p w14:paraId="30992EA0" w14:textId="4D9522D7" w:rsidR="00DC3440" w:rsidRPr="00E655EC" w:rsidRDefault="00BA23C0" w:rsidP="00BA23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55EC">
        <w:rPr>
          <w:rFonts w:ascii="Times New Roman" w:hAnsi="Times New Roman" w:cs="Times New Roman"/>
          <w:b/>
          <w:bCs/>
          <w:sz w:val="28"/>
          <w:szCs w:val="28"/>
        </w:rPr>
        <w:t>Justificativa</w:t>
      </w:r>
    </w:p>
    <w:p w14:paraId="0C060313" w14:textId="77777777" w:rsidR="00BA23C0" w:rsidRDefault="00BA23C0" w:rsidP="00BA23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1D67CE" w14:textId="52160EFA" w:rsidR="00B76488" w:rsidRPr="00B76488" w:rsidRDefault="00226D6E" w:rsidP="00B764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76488" w:rsidRPr="00B76488">
        <w:rPr>
          <w:rFonts w:ascii="Times New Roman" w:hAnsi="Times New Roman" w:cs="Times New Roman"/>
          <w:sz w:val="24"/>
          <w:szCs w:val="24"/>
        </w:rPr>
        <w:t>Estudo divulgado pelo portal UOL/VivaBem em 15 de outubro de 2025 revelou que 99% das pessoas que sofreram infarto ou AVC apresentavam pelo menos um dos quatro fatores de risco principais: hipertensão arterial, diabetes, colesterol elevado ou tabagismo.</w:t>
      </w:r>
      <w:r w:rsidR="00B76488" w:rsidRPr="00B76488">
        <w:rPr>
          <w:rFonts w:ascii="Times New Roman" w:hAnsi="Times New Roman" w:cs="Times New Roman"/>
          <w:sz w:val="24"/>
          <w:szCs w:val="24"/>
        </w:rPr>
        <w:br/>
      </w:r>
      <w:r w:rsidR="00B76488" w:rsidRPr="00B7648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76488" w:rsidRPr="00B76488">
        <w:rPr>
          <w:rFonts w:ascii="Times New Roman" w:hAnsi="Times New Roman" w:cs="Times New Roman"/>
          <w:sz w:val="24"/>
          <w:szCs w:val="24"/>
        </w:rPr>
        <w:t>Esses dados demonstram que a maioria dos eventos cardiovasculares está diretamente associada a condições preveníveis e tratáveis, evidenciando a necessidade de políticas públicas permanentes voltadas à educação em saúde, prevenção e diagnóstico precoce.</w:t>
      </w:r>
      <w:r w:rsidR="00B76488" w:rsidRPr="00B76488">
        <w:rPr>
          <w:rFonts w:ascii="Times New Roman" w:hAnsi="Times New Roman" w:cs="Times New Roman"/>
          <w:sz w:val="24"/>
          <w:szCs w:val="24"/>
        </w:rPr>
        <w:br/>
      </w:r>
      <w:r w:rsidR="00B76488" w:rsidRPr="00B7648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76488" w:rsidRPr="00B76488">
        <w:rPr>
          <w:rFonts w:ascii="Times New Roman" w:hAnsi="Times New Roman" w:cs="Times New Roman"/>
          <w:sz w:val="24"/>
          <w:szCs w:val="24"/>
        </w:rPr>
        <w:t>A criação da Semana Municipal de Prevenção aos Fatores de Risco Cardiovasculares busca ampliar a conscientização da população itatiaiense, promovendo ações integradas entre o poder público e a comunidade. Essa iniciativa contribuirá para reduzir a mortalidade e as sequelas decorrentes das doenças cardiovasculares, além de fortalecer o trabalho da rede de atenção básica à saúde.</w:t>
      </w:r>
      <w:r w:rsidR="00B76488" w:rsidRPr="00B76488">
        <w:rPr>
          <w:rFonts w:ascii="Times New Roman" w:hAnsi="Times New Roman" w:cs="Times New Roman"/>
          <w:sz w:val="24"/>
          <w:szCs w:val="24"/>
        </w:rPr>
        <w:br/>
      </w:r>
      <w:r w:rsidR="00B76488" w:rsidRPr="00B7648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76488" w:rsidRPr="00B76488">
        <w:rPr>
          <w:rFonts w:ascii="Times New Roman" w:hAnsi="Times New Roman" w:cs="Times New Roman"/>
          <w:sz w:val="24"/>
          <w:szCs w:val="24"/>
        </w:rPr>
        <w:t>Trata-se, portanto, de uma medida de alto impacto social, que valoriza a prevenção e o cuidado com a vida, em consonância com as diretrizes do Ministério da Saúde e da Organização Mundial da Saúde (OMS).</w:t>
      </w:r>
    </w:p>
    <w:p w14:paraId="41301B2B" w14:textId="77777777" w:rsidR="006A5770" w:rsidRDefault="006A5770" w:rsidP="00B76488">
      <w:pPr>
        <w:rPr>
          <w:rFonts w:ascii="Times New Roman" w:hAnsi="Times New Roman" w:cs="Times New Roman"/>
          <w:sz w:val="24"/>
          <w:szCs w:val="24"/>
        </w:rPr>
      </w:pPr>
    </w:p>
    <w:p w14:paraId="14D9CBB6" w14:textId="77777777" w:rsidR="00B76488" w:rsidRDefault="00B76488" w:rsidP="00B76488">
      <w:pPr>
        <w:rPr>
          <w:rFonts w:ascii="Times New Roman" w:hAnsi="Times New Roman" w:cs="Times New Roman"/>
          <w:sz w:val="24"/>
          <w:szCs w:val="24"/>
        </w:rPr>
      </w:pPr>
    </w:p>
    <w:p w14:paraId="4CA37D66" w14:textId="4E48C606" w:rsidR="00B76488" w:rsidRDefault="00B76488" w:rsidP="00B76488">
      <w:pPr>
        <w:spacing w:before="201"/>
        <w:ind w:left="102"/>
        <w:jc w:val="center"/>
        <w:rPr>
          <w:rFonts w:ascii="Times New Roman" w:eastAsia="Times New Roman" w:hAnsi="Times New Roman" w:cs="Times New Roman"/>
          <w:spacing w:val="-4"/>
          <w:sz w:val="24"/>
        </w:rPr>
      </w:pPr>
      <w:r>
        <w:rPr>
          <w:rFonts w:ascii="Times New Roman" w:eastAsia="Times New Roman" w:hAnsi="Times New Roman" w:cs="Times New Roman"/>
          <w:spacing w:val="-4"/>
          <w:sz w:val="24"/>
        </w:rPr>
        <w:t xml:space="preserve">   Itatiaia, 15 de outubro de 2025</w:t>
      </w:r>
    </w:p>
    <w:p w14:paraId="459EC29D" w14:textId="77777777" w:rsidR="00B76488" w:rsidRDefault="00B76488" w:rsidP="00B7648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249ED1" w14:textId="77777777" w:rsidR="00B76488" w:rsidRDefault="00B76488" w:rsidP="00B7648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82C0C2" w14:textId="77777777" w:rsidR="006A5770" w:rsidRPr="00234C57" w:rsidRDefault="006A5770" w:rsidP="006A5770">
      <w:pPr>
        <w:spacing w:before="201"/>
        <w:ind w:left="102"/>
        <w:jc w:val="center"/>
        <w:rPr>
          <w:rFonts w:ascii="Times New Roman" w:eastAsia="Times New Roman" w:hAnsi="Times New Roman" w:cs="Times New Roman"/>
          <w:b/>
          <w:spacing w:val="-4"/>
          <w:sz w:val="32"/>
          <w:szCs w:val="32"/>
          <w:lang w:val="pt-BR"/>
        </w:rPr>
      </w:pPr>
      <w:r w:rsidRPr="00234C57">
        <w:rPr>
          <w:rFonts w:ascii="Times New Roman" w:eastAsia="Times New Roman" w:hAnsi="Times New Roman" w:cs="Times New Roman"/>
          <w:b/>
          <w:spacing w:val="-4"/>
          <w:sz w:val="32"/>
          <w:szCs w:val="32"/>
          <w:lang w:val="pt-BR"/>
        </w:rPr>
        <w:t>Victor Alexandre</w:t>
      </w:r>
    </w:p>
    <w:p w14:paraId="2FADFAFE" w14:textId="68C27488" w:rsidR="006A5770" w:rsidRPr="002B5896" w:rsidRDefault="006A5770" w:rsidP="002B5896">
      <w:pPr>
        <w:ind w:left="102"/>
        <w:jc w:val="center"/>
        <w:rPr>
          <w:rFonts w:ascii="Times New Roman" w:eastAsia="Times New Roman" w:hAnsi="Times New Roman" w:cs="Times New Roman"/>
          <w:b/>
          <w:spacing w:val="-4"/>
          <w:lang w:val="pt-BR"/>
        </w:rPr>
      </w:pPr>
      <w:r w:rsidRPr="00234C57">
        <w:rPr>
          <w:rFonts w:ascii="Times New Roman" w:eastAsia="Times New Roman" w:hAnsi="Times New Roman" w:cs="Times New Roman"/>
          <w:b/>
          <w:spacing w:val="-4"/>
          <w:lang w:val="pt-BR"/>
        </w:rPr>
        <w:t>VEREADOR</w:t>
      </w:r>
    </w:p>
    <w:sectPr w:rsidR="006A5770" w:rsidRPr="002B5896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611A7" w14:textId="77777777" w:rsidR="004F17B8" w:rsidRDefault="004F17B8" w:rsidP="005E5C64">
      <w:r>
        <w:separator/>
      </w:r>
    </w:p>
  </w:endnote>
  <w:endnote w:type="continuationSeparator" w:id="0">
    <w:p w14:paraId="12F4DE5C" w14:textId="77777777" w:rsidR="004F17B8" w:rsidRDefault="004F17B8" w:rsidP="005E5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4EA27" w14:textId="77777777" w:rsidR="001102C3" w:rsidRDefault="001102C3" w:rsidP="001102C3">
    <w:pPr>
      <w:jc w:val="center"/>
      <w:rPr>
        <w:rFonts w:ascii="Times New Roman" w:hAnsi="Times New Roman" w:cs="Times New Roman"/>
        <w:color w:val="000000" w:themeColor="text1"/>
        <w:sz w:val="24"/>
        <w:szCs w:val="24"/>
      </w:rPr>
    </w:pPr>
  </w:p>
  <w:p w14:paraId="2A1135E8" w14:textId="54C48422" w:rsidR="001102C3" w:rsidRDefault="001102C3" w:rsidP="001102C3">
    <w:pPr>
      <w:jc w:val="center"/>
      <w:rPr>
        <w:rFonts w:ascii="Times New Roman" w:hAnsi="Times New Roman" w:cs="Times New Roman"/>
        <w:color w:val="000000" w:themeColor="text1"/>
        <w:sz w:val="24"/>
        <w:szCs w:val="24"/>
      </w:rPr>
    </w:pPr>
    <w:r>
      <w:rPr>
        <w:rFonts w:ascii="Times New Roman" w:hAnsi="Times New Roman" w:cs="Times New Roman"/>
        <w:color w:val="000000" w:themeColor="text1"/>
        <w:sz w:val="24"/>
        <w:szCs w:val="24"/>
      </w:rPr>
      <w:t>Av. Dos Expedicionários  205 – Centro - Itatiaia/RJ – CEP: 27580-000</w:t>
    </w:r>
  </w:p>
  <w:p w14:paraId="714DCB90" w14:textId="3FCCB08F" w:rsidR="001102C3" w:rsidRDefault="001102C3" w:rsidP="001102C3">
    <w:pPr>
      <w:jc w:val="center"/>
      <w:rPr>
        <w:rFonts w:ascii="Times New Roman" w:hAnsi="Times New Roman" w:cs="Times New Roman"/>
        <w:color w:val="000000" w:themeColor="text1"/>
        <w:sz w:val="24"/>
        <w:szCs w:val="24"/>
      </w:rPr>
    </w:pPr>
    <w:r>
      <w:rPr>
        <w:rFonts w:ascii="Times New Roman" w:hAnsi="Times New Roman" w:cs="Times New Roman"/>
        <w:color w:val="000000" w:themeColor="text1"/>
        <w:sz w:val="24"/>
        <w:szCs w:val="24"/>
      </w:rPr>
      <w:t xml:space="preserve">Tel: (24) 3352-2245 – Ramal: </w:t>
    </w:r>
    <w:r w:rsidR="0072786C">
      <w:rPr>
        <w:rFonts w:ascii="Times New Roman" w:hAnsi="Times New Roman" w:cs="Times New Roman"/>
        <w:color w:val="000000" w:themeColor="text1"/>
        <w:sz w:val="24"/>
        <w:szCs w:val="24"/>
      </w:rPr>
      <w:t>226</w:t>
    </w:r>
  </w:p>
  <w:p w14:paraId="50873BB0" w14:textId="77777777" w:rsidR="001102C3" w:rsidRPr="003C7DBA" w:rsidRDefault="001102C3" w:rsidP="001102C3">
    <w:pPr>
      <w:jc w:val="center"/>
      <w:rPr>
        <w:rFonts w:ascii="Times New Roman" w:hAnsi="Times New Roman" w:cs="Times New Roman"/>
        <w:color w:val="000000" w:themeColor="text1"/>
        <w:sz w:val="24"/>
        <w:szCs w:val="24"/>
      </w:rPr>
    </w:pPr>
    <w:hyperlink r:id="rId1" w:history="1">
      <w:r w:rsidRPr="0072786C">
        <w:rPr>
          <w:rStyle w:val="Hyperlink"/>
          <w:rFonts w:ascii="Roboto" w:hAnsi="Roboto"/>
          <w:color w:val="000000" w:themeColor="text1"/>
          <w:sz w:val="21"/>
          <w:szCs w:val="21"/>
          <w:shd w:val="clear" w:color="auto" w:fill="E9EEF6"/>
        </w:rPr>
        <w:t>gabvrvictoralexandre@gmail.com</w:t>
      </w:r>
    </w:hyperlink>
  </w:p>
  <w:p w14:paraId="2F3D1E84" w14:textId="77777777" w:rsidR="001102C3" w:rsidRDefault="001102C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35992" w14:textId="77777777" w:rsidR="004F17B8" w:rsidRDefault="004F17B8" w:rsidP="005E5C64">
      <w:r>
        <w:separator/>
      </w:r>
    </w:p>
  </w:footnote>
  <w:footnote w:type="continuationSeparator" w:id="0">
    <w:p w14:paraId="3231F626" w14:textId="77777777" w:rsidR="004F17B8" w:rsidRDefault="004F17B8" w:rsidP="005E5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AFD00" w14:textId="22E33EBC" w:rsidR="005E5C64" w:rsidRPr="005E5C64" w:rsidRDefault="005E5C64" w:rsidP="005E5C64">
    <w:pPr>
      <w:pStyle w:val="Ttulo"/>
      <w:spacing w:after="0"/>
      <w:jc w:val="center"/>
      <w:rPr>
        <w:b/>
        <w:bCs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54AD6997" wp14:editId="6F339366">
          <wp:simplePos x="0" y="0"/>
          <wp:positionH relativeFrom="page">
            <wp:posOffset>600075</wp:posOffset>
          </wp:positionH>
          <wp:positionV relativeFrom="paragraph">
            <wp:posOffset>-59055</wp:posOffset>
          </wp:positionV>
          <wp:extent cx="742950" cy="837565"/>
          <wp:effectExtent l="0" t="0" r="0" b="635"/>
          <wp:wrapNone/>
          <wp:docPr id="265849422" name="Image 2" descr="Desenho de um monstro com texto preto sobre fundo branco&#10;&#10;Descrição gerada automaticamente com confiança médi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849422" name="Image 2" descr="Desenho de um monstro com texto preto sobre fundo branco&#10;&#10;Descrição gerada automaticamente com confiança média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3513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</w:rPr>
      <w:t xml:space="preserve">     </w:t>
    </w:r>
    <w:r w:rsidRPr="005E5C64">
      <w:rPr>
        <w:b/>
        <w:bCs/>
      </w:rPr>
      <w:t>CÂMARA</w:t>
    </w:r>
    <w:r w:rsidRPr="005E5C64">
      <w:rPr>
        <w:b/>
        <w:bCs/>
        <w:spacing w:val="-26"/>
      </w:rPr>
      <w:t xml:space="preserve"> </w:t>
    </w:r>
    <w:r w:rsidRPr="005E5C64">
      <w:rPr>
        <w:b/>
        <w:bCs/>
      </w:rPr>
      <w:t>MUNICIPAL</w:t>
    </w:r>
    <w:r w:rsidRPr="005E5C64">
      <w:rPr>
        <w:b/>
        <w:bCs/>
        <w:spacing w:val="-25"/>
      </w:rPr>
      <w:t xml:space="preserve"> </w:t>
    </w:r>
    <w:r w:rsidRPr="005E5C64">
      <w:rPr>
        <w:b/>
        <w:bCs/>
      </w:rPr>
      <w:t>DE</w:t>
    </w:r>
    <w:r w:rsidRPr="005E5C64">
      <w:rPr>
        <w:b/>
        <w:bCs/>
        <w:spacing w:val="-25"/>
      </w:rPr>
      <w:t xml:space="preserve"> </w:t>
    </w:r>
    <w:r w:rsidRPr="005E5C64">
      <w:rPr>
        <w:b/>
        <w:bCs/>
      </w:rPr>
      <w:t>ITATIAIA</w:t>
    </w:r>
  </w:p>
  <w:p w14:paraId="4128C2D7" w14:textId="3CDB0485" w:rsidR="005E5C64" w:rsidRPr="00943098" w:rsidRDefault="005E5C64" w:rsidP="005E5C64">
    <w:pPr>
      <w:rPr>
        <w:rFonts w:ascii="Cambria" w:hAnsi="Cambria"/>
        <w:b/>
        <w:sz w:val="32"/>
        <w:szCs w:val="32"/>
      </w:rPr>
    </w:pPr>
    <w:r>
      <w:rPr>
        <w:rFonts w:ascii="Cambria" w:hAnsi="Cambria"/>
        <w:b/>
        <w:sz w:val="32"/>
        <w:szCs w:val="32"/>
      </w:rPr>
      <w:t xml:space="preserve">                       </w:t>
    </w:r>
    <w:r w:rsidRPr="00943098">
      <w:rPr>
        <w:rFonts w:ascii="Cambria" w:hAnsi="Cambria"/>
        <w:b/>
        <w:sz w:val="32"/>
        <w:szCs w:val="32"/>
      </w:rPr>
      <w:t>Gabinete</w:t>
    </w:r>
    <w:r w:rsidRPr="00943098">
      <w:rPr>
        <w:rFonts w:ascii="Cambria" w:hAnsi="Cambria"/>
        <w:b/>
        <w:spacing w:val="-6"/>
        <w:sz w:val="32"/>
        <w:szCs w:val="32"/>
      </w:rPr>
      <w:t xml:space="preserve"> </w:t>
    </w:r>
    <w:r w:rsidRPr="00943098">
      <w:rPr>
        <w:rFonts w:ascii="Cambria" w:hAnsi="Cambria"/>
        <w:b/>
        <w:sz w:val="32"/>
        <w:szCs w:val="32"/>
      </w:rPr>
      <w:t>do</w:t>
    </w:r>
    <w:r w:rsidRPr="00943098">
      <w:rPr>
        <w:rFonts w:ascii="Cambria" w:hAnsi="Cambria"/>
        <w:b/>
        <w:spacing w:val="-5"/>
        <w:sz w:val="32"/>
        <w:szCs w:val="32"/>
      </w:rPr>
      <w:t xml:space="preserve"> </w:t>
    </w:r>
    <w:r w:rsidR="001102C3">
      <w:rPr>
        <w:rFonts w:ascii="Cambria" w:hAnsi="Cambria"/>
        <w:b/>
        <w:sz w:val="32"/>
        <w:szCs w:val="32"/>
      </w:rPr>
      <w:t>V</w:t>
    </w:r>
    <w:r w:rsidRPr="00943098">
      <w:rPr>
        <w:rFonts w:ascii="Cambria" w:hAnsi="Cambria"/>
        <w:b/>
        <w:sz w:val="32"/>
        <w:szCs w:val="32"/>
      </w:rPr>
      <w:t>ereador Victor Alexandre</w:t>
    </w:r>
  </w:p>
  <w:p w14:paraId="2898DC67" w14:textId="4C23ECAC" w:rsidR="005E5C64" w:rsidRDefault="005E5C6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440"/>
    <w:rsid w:val="00036A29"/>
    <w:rsid w:val="000B22B0"/>
    <w:rsid w:val="000C1021"/>
    <w:rsid w:val="000D5436"/>
    <w:rsid w:val="001102C3"/>
    <w:rsid w:val="00121E0E"/>
    <w:rsid w:val="0019126F"/>
    <w:rsid w:val="001A028F"/>
    <w:rsid w:val="001A51E2"/>
    <w:rsid w:val="001A78BF"/>
    <w:rsid w:val="001D708B"/>
    <w:rsid w:val="001E69A3"/>
    <w:rsid w:val="001E7645"/>
    <w:rsid w:val="0020065C"/>
    <w:rsid w:val="00223B08"/>
    <w:rsid w:val="00226D6E"/>
    <w:rsid w:val="00234C57"/>
    <w:rsid w:val="00293A69"/>
    <w:rsid w:val="002A4E59"/>
    <w:rsid w:val="002A7211"/>
    <w:rsid w:val="002B5896"/>
    <w:rsid w:val="00310BB1"/>
    <w:rsid w:val="00323423"/>
    <w:rsid w:val="003A5116"/>
    <w:rsid w:val="003C7DBA"/>
    <w:rsid w:val="00441982"/>
    <w:rsid w:val="004813DD"/>
    <w:rsid w:val="00486F89"/>
    <w:rsid w:val="004C6932"/>
    <w:rsid w:val="004F17B8"/>
    <w:rsid w:val="00545220"/>
    <w:rsid w:val="00567A65"/>
    <w:rsid w:val="005B025D"/>
    <w:rsid w:val="005C58D9"/>
    <w:rsid w:val="005C62FA"/>
    <w:rsid w:val="005C645A"/>
    <w:rsid w:val="005E5C64"/>
    <w:rsid w:val="005E75CF"/>
    <w:rsid w:val="00612FCE"/>
    <w:rsid w:val="0061393B"/>
    <w:rsid w:val="00625521"/>
    <w:rsid w:val="00644EE3"/>
    <w:rsid w:val="00680AD5"/>
    <w:rsid w:val="006A5770"/>
    <w:rsid w:val="006B6C50"/>
    <w:rsid w:val="006D3125"/>
    <w:rsid w:val="007061A8"/>
    <w:rsid w:val="0072786C"/>
    <w:rsid w:val="00824F69"/>
    <w:rsid w:val="00833409"/>
    <w:rsid w:val="008E690C"/>
    <w:rsid w:val="008F45BD"/>
    <w:rsid w:val="00913C96"/>
    <w:rsid w:val="0091451C"/>
    <w:rsid w:val="009657F6"/>
    <w:rsid w:val="00992D37"/>
    <w:rsid w:val="009A49E6"/>
    <w:rsid w:val="00A00E03"/>
    <w:rsid w:val="00A70FEB"/>
    <w:rsid w:val="00AA2246"/>
    <w:rsid w:val="00AE251C"/>
    <w:rsid w:val="00AE4DCF"/>
    <w:rsid w:val="00B12B4B"/>
    <w:rsid w:val="00B76488"/>
    <w:rsid w:val="00BA1F11"/>
    <w:rsid w:val="00BA23C0"/>
    <w:rsid w:val="00C070A7"/>
    <w:rsid w:val="00C50F82"/>
    <w:rsid w:val="00C52EB5"/>
    <w:rsid w:val="00C804BA"/>
    <w:rsid w:val="00C97F03"/>
    <w:rsid w:val="00CB219A"/>
    <w:rsid w:val="00D07D43"/>
    <w:rsid w:val="00D510C3"/>
    <w:rsid w:val="00D553D7"/>
    <w:rsid w:val="00D56CC8"/>
    <w:rsid w:val="00D71112"/>
    <w:rsid w:val="00D830DF"/>
    <w:rsid w:val="00DA5307"/>
    <w:rsid w:val="00DB6636"/>
    <w:rsid w:val="00DC3440"/>
    <w:rsid w:val="00E22138"/>
    <w:rsid w:val="00E5554B"/>
    <w:rsid w:val="00E655EC"/>
    <w:rsid w:val="00EB2EF4"/>
    <w:rsid w:val="00EE2910"/>
    <w:rsid w:val="00F36910"/>
    <w:rsid w:val="00F619F8"/>
    <w:rsid w:val="00F83BE6"/>
    <w:rsid w:val="00F86611"/>
    <w:rsid w:val="00F971F6"/>
    <w:rsid w:val="00FB6610"/>
    <w:rsid w:val="00FB7A39"/>
    <w:rsid w:val="00FF5778"/>
    <w:rsid w:val="00FF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8749"/>
  <w15:chartTrackingRefBased/>
  <w15:docId w15:val="{331F2B19-6C21-44C4-9371-F75C89F44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440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C3440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C3440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C3440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C3440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C3440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C3440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C3440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C3440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C3440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C3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C3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C3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C344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C344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C344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C344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C344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C344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C3440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C3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C3440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C3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C3440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C344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C3440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C344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C344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C344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C3440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DC3440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DC3440"/>
    <w:rPr>
      <w:rFonts w:ascii="Courier New" w:eastAsia="Courier New" w:hAnsi="Courier New" w:cs="Courier New"/>
      <w:kern w:val="0"/>
      <w:sz w:val="24"/>
      <w:szCs w:val="24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3C7DBA"/>
    <w:rPr>
      <w:color w:val="467886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E5C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E5C64"/>
    <w:rPr>
      <w:rFonts w:ascii="Courier New" w:eastAsia="Courier New" w:hAnsi="Courier New" w:cs="Courier New"/>
      <w:kern w:val="0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5E5C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E5C64"/>
    <w:rPr>
      <w:rFonts w:ascii="Courier New" w:eastAsia="Courier New" w:hAnsi="Courier New" w:cs="Courier New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bvrvictoralexandre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624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Itatiaia 1</dc:creator>
  <cp:keywords/>
  <dc:description/>
  <cp:lastModifiedBy>Gabinete Parlamentar</cp:lastModifiedBy>
  <cp:revision>6</cp:revision>
  <cp:lastPrinted>2025-10-16T13:02:00Z</cp:lastPrinted>
  <dcterms:created xsi:type="dcterms:W3CDTF">2025-10-15T15:53:00Z</dcterms:created>
  <dcterms:modified xsi:type="dcterms:W3CDTF">2025-10-23T13:49:00Z</dcterms:modified>
</cp:coreProperties>
</file>